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19"/>
        </w:rPr>
        <w:t>Lozzo Atestino, data e protocollo come da segnatura</w:t>
      </w:r>
    </w:p>
    <w:p>
      <w:pPr>
        <w:jc w:val="center"/>
      </w:pPr>
      <w:r>
        <w:rPr>
          <w:b/>
          <w:color w:val="1F4E79"/>
          <w:sz w:val="30"/>
        </w:rPr>
        <w:t>ALLEGATO 2</w:t>
        <w:br/>
        <w:t>ELENCO DELLE UNITÀ ORGANIZZATIVE RESPONSABILI (UOR)</w:t>
      </w:r>
    </w:p>
    <w:p>
      <w:pPr>
        <w:jc w:val="center"/>
      </w:pPr>
      <w:r>
        <w:rPr>
          <w:i/>
          <w:sz w:val="21"/>
        </w:rPr>
        <w:t>Manuale di gestione documentale - Versione 2.0</w:t>
        <w:br/>
        <w:t>Istituto Comprensivo Statale di Lozzo Atestino</w:t>
      </w:r>
    </w:p>
    <w:p>
      <w:pPr>
        <w:spacing w:after="80"/>
        <w:jc w:val="both"/>
      </w:pPr>
      <w:r>
        <w:rPr>
          <w:rFonts w:ascii="Arial" w:hAnsi="Arial" w:eastAsia="Arial"/>
          <w:sz w:val="19"/>
        </w:rPr>
        <w:t>Il presente allegato individua l'elenco delle Unità Organizzative Responsabili (UOR) dell'Istituto Comprensivo Statale di Lozzo Atestino, quali articolazioni funzionali dell'unica Area Organizzativa Omogenea (AOO) dell'Istituto. Le UOR sono utilizzate per l'assegnazione, la presa in carico, la gestione, la fascicolazione e il monitoraggio dei documenti amministrativi prodotti o ricevuti dall'Istituto.</w:t>
      </w:r>
    </w:p>
    <w:p>
      <w:pPr>
        <w:spacing w:after="80"/>
        <w:jc w:val="both"/>
      </w:pPr>
      <w:r>
        <w:rPr>
          <w:rFonts w:ascii="Arial" w:hAnsi="Arial" w:eastAsia="Arial"/>
          <w:sz w:val="19"/>
        </w:rPr>
        <w:t>L'elenco ha natura organizzativa e operativa. Eventuali aggiornamenti delle denominazioni, delle competenze o dei referenti sono disposti dal Dirigente scolastico, sentito il DSGA, e recepiti nel Manuale di gestione documentale e nei relativi allegati.</w:t>
      </w:r>
    </w:p>
    <w:p>
      <w:pPr>
        <w:pStyle w:val="Heading1"/>
        <w:spacing w:before="120" w:after="80"/>
      </w:pPr>
      <w:r>
        <w:rPr>
          <w:b/>
          <w:color w:val="1F4E79"/>
        </w:rPr>
        <w:t>1. Dati generali dell'AOO</w:t>
      </w:r>
    </w:p>
    <w:tbl>
      <w:tblPr>
        <w:tblW w:type="auto" w:w="0"/>
        <w:jc w:val="center"/>
        <w:tblLook w:firstColumn="1" w:firstRow="1" w:lastColumn="0" w:lastRow="0" w:noHBand="0" w:noVBand="1" w:val="04A0"/>
      </w:tblPr>
      <w:tblGrid>
        <w:gridCol w:w="7682"/>
        <w:gridCol w:w="7682"/>
      </w:tblGrid>
      <w:tr>
        <w:trPr>
          <w:tblHeader w:val="true"/>
        </w:trPr>
        <w:tc>
          <w:tcPr>
            <w:tcW w:type="dxa" w:w="7682"/>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7"/>
              </w:rPr>
              <w:t>Campo</w:t>
            </w:r>
          </w:p>
        </w:tc>
        <w:tc>
          <w:tcPr>
            <w:tcW w:type="dxa" w:w="7682"/>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7"/>
              </w:rPr>
              <w:t>Dato</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AOO</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Istituto Comprensivo Statale di Lozzo Atestino</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Codice meccanografico</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PDIC85700D</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Codice IPA</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istsc_pdic85700d</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Codice AOO</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A8E4977</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Sistema di protocollo e gestione documentale</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Nuvola</w:t>
            </w:r>
          </w:p>
        </w:tc>
      </w:tr>
      <w:tr>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7"/>
              </w:rPr>
              <w:t>Conservazione digitale</w:t>
            </w:r>
          </w:p>
        </w:tc>
        <w:tc>
          <w:tcPr>
            <w:tcW w:type="dxa" w:w="7682"/>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7"/>
              </w:rPr>
              <w:t>Nuvola</w:t>
            </w:r>
          </w:p>
        </w:tc>
      </w:tr>
    </w:tbl>
    <w:p>
      <w:pPr>
        <w:pStyle w:val="Heading1"/>
        <w:spacing w:before="120" w:after="80"/>
      </w:pPr>
      <w:r>
        <w:rPr>
          <w:b/>
          <w:color w:val="1F4E79"/>
        </w:rPr>
        <w:t>2. Elenco delle UOR</w:t>
      </w:r>
    </w:p>
    <w:p>
      <w:pPr>
        <w:spacing w:after="80"/>
        <w:jc w:val="both"/>
      </w:pPr>
      <w:r>
        <w:rPr>
          <w:rFonts w:ascii="Arial" w:hAnsi="Arial" w:eastAsia="Arial"/>
          <w:sz w:val="19"/>
        </w:rPr>
        <w:t>La tabella seguente definisce, per ciascuna UOR, il referente funzionale, le competenze documentali prevalenti e le principali classi del titolario normalmente utilizzate. L'elenco non limita la possibilità di classificare i documenti in altre classi, qualora la natura del procedimento lo richieda.</w:t>
      </w:r>
    </w:p>
    <w:tbl>
      <w:tblPr>
        <w:tblW w:type="auto" w:w="0"/>
        <w:jc w:val="center"/>
        <w:tblLayout w:type="fixed"/>
        <w:tblLook w:firstColumn="1" w:firstRow="1" w:lastColumn="0" w:lastRow="0" w:noHBand="0" w:noVBand="1" w:val="04A0"/>
      </w:tblPr>
      <w:tblGrid>
        <w:gridCol w:w="3073"/>
        <w:gridCol w:w="3073"/>
        <w:gridCol w:w="3073"/>
        <w:gridCol w:w="3073"/>
        <w:gridCol w:w="3073"/>
      </w:tblGrid>
      <w:tr>
        <w:trPr>
          <w:tblHeader w:val="true"/>
        </w:trPr>
        <w:tc>
          <w:tcPr>
            <w:tcW w:type="dxa" w:w="907"/>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5"/>
              </w:rPr>
              <w:t>Codice</w:t>
            </w:r>
          </w:p>
        </w:tc>
        <w:tc>
          <w:tcPr>
            <w:tcW w:type="dxa" w:w="2268"/>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5"/>
              </w:rPr>
              <w:t>Denominazione UOR</w:t>
            </w:r>
          </w:p>
        </w:tc>
        <w:tc>
          <w:tcPr>
            <w:tcW w:type="dxa" w:w="2324"/>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5"/>
              </w:rPr>
              <w:t>Referente funzionale</w:t>
            </w:r>
          </w:p>
        </w:tc>
        <w:tc>
          <w:tcPr>
            <w:tcW w:type="dxa" w:w="5670"/>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5"/>
              </w:rPr>
              <w:t>Competenze documentali prevalenti</w:t>
            </w:r>
          </w:p>
        </w:tc>
        <w:tc>
          <w:tcPr>
            <w:tcW w:type="dxa" w:w="2948"/>
            <w:vAlign w:val="top"/>
            <w:shd w:fill="1F4E79"/>
            <w:tcBorders>
              <w:top w:val="single" w:sz="6" w:color="BFBFBF"/>
              <w:left w:val="single" w:sz="6" w:color="BFBFBF"/>
              <w:bottom w:val="single" w:sz="6" w:color="BFBFBF"/>
              <w:right w:val="single" w:sz="6" w:color="BFBFBF"/>
            </w:tcBorders>
          </w:tcPr>
          <w:p>
            <w:pPr>
              <w:spacing w:after="0"/>
              <w:jc w:val="center"/>
            </w:pPr>
            <w:r>
              <w:rPr>
                <w:rFonts w:ascii="Arial" w:hAnsi="Arial" w:eastAsia="Arial"/>
              </w:rPr>
            </w:r>
            <w:r>
              <w:rPr>
                <w:rFonts w:ascii="Arial" w:hAnsi="Arial" w:eastAsia="Arial"/>
                <w:b/>
                <w:color w:val="FFFFFF"/>
                <w:sz w:val="15"/>
              </w:rPr>
              <w:t>Classi del titolario più ricorrenti</w:t>
            </w:r>
          </w:p>
        </w:tc>
      </w:tr>
      <w:tr>
        <w:tc>
          <w:tcPr>
            <w:tcW w:type="dxa" w:w="907"/>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01</w:t>
            </w:r>
          </w:p>
        </w:tc>
        <w:tc>
          <w:tcPr>
            <w:tcW w:type="dxa" w:w="226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Dirigenza scolastica</w:t>
            </w:r>
          </w:p>
        </w:tc>
        <w:tc>
          <w:tcPr>
            <w:tcW w:type="dxa" w:w="2324"/>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Dirigente scolastico</w:t>
              <w:br/>
              <w:t>Prof. Alfonso D'Ambrosio</w:t>
            </w:r>
          </w:p>
        </w:tc>
        <w:tc>
          <w:tcPr>
            <w:tcW w:type="dxa" w:w="5670"/>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Provvedimenti dirigenziali; atti di indirizzo e organizzazione; relazioni istituzionali; procedimenti riservati; accesso agli atti di particolare rilevanza; coordinamento generale del sistema documentale.</w:t>
            </w:r>
          </w:p>
        </w:tc>
        <w:tc>
          <w:tcPr>
            <w:tcW w:type="dxa" w:w="294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I.1, I.2, I.4, II.5, III.1-III.4, VII.6</w:t>
            </w:r>
          </w:p>
        </w:tc>
      </w:tr>
      <w:tr>
        <w:tc>
          <w:tcPr>
            <w:tcW w:type="dxa" w:w="907"/>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02</w:t>
            </w:r>
          </w:p>
        </w:tc>
        <w:tc>
          <w:tcPr>
            <w:tcW w:type="dxa" w:w="226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DSGA e servizi generali amministrativi</w:t>
            </w:r>
          </w:p>
        </w:tc>
        <w:tc>
          <w:tcPr>
            <w:tcW w:type="dxa" w:w="2324"/>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DSGA</w:t>
              <w:br/>
              <w:t>Dott.ssa Patrizia Forcato</w:t>
            </w:r>
          </w:p>
        </w:tc>
        <w:tc>
          <w:tcPr>
            <w:tcW w:type="dxa" w:w="5670"/>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Coordinamento dei servizi generali e amministrativi; organizzazione del lavoro amministrativo; raccordo operativo con il RGD; gestione dei flussi documentali interni agli uffici; referente IPA.</w:t>
            </w:r>
          </w:p>
        </w:tc>
        <w:tc>
          <w:tcPr>
            <w:tcW w:type="dxa" w:w="294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I.2, I.4, I.5, II.6, VI.1-VI.11, VII.3</w:t>
            </w:r>
          </w:p>
        </w:tc>
      </w:tr>
      <w:tr>
        <w:tc>
          <w:tcPr>
            <w:tcW w:type="dxa" w:w="907"/>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03</w:t>
            </w:r>
          </w:p>
        </w:tc>
        <w:tc>
          <w:tcPr>
            <w:tcW w:type="dxa" w:w="226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Protocollo, affari generali e archivio</w:t>
            </w:r>
          </w:p>
        </w:tc>
        <w:tc>
          <w:tcPr>
            <w:tcW w:type="dxa" w:w="2324"/>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Assistenti amministrativi incaricati</w:t>
              <w:br/>
              <w:t>Coordinamento DSGA</w:t>
            </w:r>
          </w:p>
        </w:tc>
        <w:tc>
          <w:tcPr>
            <w:tcW w:type="dxa" w:w="5670"/>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Registrazione di protocollo; gestione PEC/PEO; segnatura; assegnazione; repertori; albo online; amministrazione trasparente; archivio corrente e di deposito; supporto a fascicolazione e scarto.</w:t>
            </w:r>
          </w:p>
        </w:tc>
        <w:tc>
          <w:tcPr>
            <w:tcW w:type="dxa" w:w="294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I.1, I.4, I.5, I.8, II.1-II.11, III.4</w:t>
            </w:r>
          </w:p>
        </w:tc>
      </w:tr>
      <w:tr>
        <w:tc>
          <w:tcPr>
            <w:tcW w:type="dxa" w:w="907"/>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04</w:t>
            </w:r>
          </w:p>
        </w:tc>
        <w:tc>
          <w:tcPr>
            <w:tcW w:type="dxa" w:w="226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Personale docente e ATA</w:t>
            </w:r>
          </w:p>
        </w:tc>
        <w:tc>
          <w:tcPr>
            <w:tcW w:type="dxa" w:w="2324"/>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Assistenti amministrativi area personale</w:t>
              <w:br/>
              <w:t>Coordinamento DSGA</w:t>
            </w:r>
          </w:p>
        </w:tc>
        <w:tc>
          <w:tcPr>
            <w:tcW w:type="dxa" w:w="5670"/>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Fascicoli del personale; contratti; assenze; carriera; organici; graduatorie; incarichi; formazione; sorveglianza sanitaria; procedimenti disciplinari.</w:t>
            </w:r>
          </w:p>
        </w:tc>
        <w:tc>
          <w:tcPr>
            <w:tcW w:type="dxa" w:w="294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VII.1-VII.8, II.10, VI.2, VI.4</w:t>
            </w:r>
          </w:p>
        </w:tc>
      </w:tr>
      <w:tr>
        <w:tc>
          <w:tcPr>
            <w:tcW w:type="dxa" w:w="907"/>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05</w:t>
            </w:r>
          </w:p>
        </w:tc>
        <w:tc>
          <w:tcPr>
            <w:tcW w:type="dxa" w:w="226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Didattica e alunni</w:t>
            </w:r>
          </w:p>
        </w:tc>
        <w:tc>
          <w:tcPr>
            <w:tcW w:type="dxa" w:w="2324"/>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Assistenti amministrativi area didattica</w:t>
              <w:br/>
              <w:t>Coordinamento DSGA</w:t>
            </w:r>
          </w:p>
        </w:tc>
        <w:tc>
          <w:tcPr>
            <w:tcW w:type="dxa" w:w="5670"/>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Iscrizioni; fascicoli alunni; anagrafe; formazione classi; scrutini; esami; certificazioni; inclusione; diritto allo studio; rapporti scuola-famiglia; viaggi e attività didattiche.</w:t>
            </w:r>
          </w:p>
        </w:tc>
        <w:tc>
          <w:tcPr>
            <w:tcW w:type="dxa" w:w="294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IV.1-IV.10, V.1-V.10, II.2, II.8</w:t>
            </w:r>
          </w:p>
        </w:tc>
      </w:tr>
      <w:tr>
        <w:tc>
          <w:tcPr>
            <w:tcW w:type="dxa" w:w="907"/>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06</w:t>
            </w:r>
          </w:p>
        </w:tc>
        <w:tc>
          <w:tcPr>
            <w:tcW w:type="dxa" w:w="226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Contabilità, acquisti e progetti</w:t>
            </w:r>
          </w:p>
        </w:tc>
        <w:tc>
          <w:tcPr>
            <w:tcW w:type="dxa" w:w="2324"/>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DSGA e assistenti amministrativi area contabilità</w:t>
            </w:r>
          </w:p>
        </w:tc>
        <w:tc>
          <w:tcPr>
            <w:tcW w:type="dxa" w:w="5670"/>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Programma annuale; conto consuntivo; mandati e reversali; contratti; acquisti; CIG/CUP; inventario; progetti PNRR, PN, PON, Agenda Nord, Piano Estate e altri finanziamenti; rendicontazioni.</w:t>
            </w:r>
          </w:p>
        </w:tc>
        <w:tc>
          <w:tcPr>
            <w:tcW w:type="dxa" w:w="294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VI.1-VI.11, IV.2, IV.5, VII.8</w:t>
            </w:r>
          </w:p>
        </w:tc>
      </w:tr>
      <w:tr>
        <w:tc>
          <w:tcPr>
            <w:tcW w:type="dxa" w:w="907"/>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07</w:t>
            </w:r>
          </w:p>
        </w:tc>
        <w:tc>
          <w:tcPr>
            <w:tcW w:type="dxa" w:w="226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Patrimonio, sicurezza e logistica</w:t>
            </w:r>
          </w:p>
        </w:tc>
        <w:tc>
          <w:tcPr>
            <w:tcW w:type="dxa" w:w="2324"/>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DSGA, DS e personale incaricato</w:t>
            </w:r>
          </w:p>
        </w:tc>
        <w:tc>
          <w:tcPr>
            <w:tcW w:type="dxa" w:w="5670"/>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Beni mobili; inventario; manutenzioni; rapporti con Enti locali; locali scolastici; DVR; sicurezza; segnalazioni dai plessi; gestione logistica e dotazioni.</w:t>
            </w:r>
          </w:p>
        </w:tc>
        <w:tc>
          <w:tcPr>
            <w:tcW w:type="dxa" w:w="2948"/>
            <w:vAlign w:val="top"/>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VI.7, VI.8, VI.9, VI.10, VI.11, IV.8</w:t>
            </w:r>
          </w:p>
        </w:tc>
      </w:tr>
      <w:tr>
        <w:tc>
          <w:tcPr>
            <w:tcW w:type="dxa" w:w="907"/>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sz w:val="14"/>
              </w:rPr>
              <w:t>UOR 08</w:t>
            </w:r>
          </w:p>
        </w:tc>
        <w:tc>
          <w:tcPr>
            <w:tcW w:type="dxa" w:w="226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Plessi scolastici</w:t>
            </w:r>
          </w:p>
        </w:tc>
        <w:tc>
          <w:tcPr>
            <w:tcW w:type="dxa" w:w="2324"/>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Referenti/fiduciari di plesso</w:t>
            </w:r>
          </w:p>
        </w:tc>
        <w:tc>
          <w:tcPr>
            <w:tcW w:type="dxa" w:w="5670"/>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Comunicazioni interne; segnalazioni organizzative; raccolta e trasmissione documenti verso dirigenza e segreteria; raccordo con famiglie e territorio. I plessi non costituiscono AOO autonome.</w:t>
            </w:r>
          </w:p>
        </w:tc>
        <w:tc>
          <w:tcPr>
            <w:tcW w:type="dxa" w:w="2948"/>
            <w:vAlign w:val="top"/>
            <w:shd w:fill="F7F7F7"/>
            <w:tcBorders>
              <w:top w:val="single" w:sz="6" w:color="BFBFBF"/>
              <w:left w:val="single" w:sz="6" w:color="BFBFBF"/>
              <w:bottom w:val="single" w:sz="6" w:color="BFBFBF"/>
              <w:right w:val="single" w:sz="6" w:color="BFBFBF"/>
            </w:tcBorders>
          </w:tcPr>
          <w:p>
            <w:pPr>
              <w:spacing w:after="0"/>
            </w:pPr>
            <w:r>
              <w:rPr>
                <w:rFonts w:ascii="Arial" w:hAnsi="Arial" w:eastAsia="Arial"/>
              </w:rPr>
            </w:r>
            <w:r>
              <w:rPr>
                <w:rFonts w:ascii="Arial" w:hAnsi="Arial" w:eastAsia="Arial"/>
                <w:b w:val="0"/>
                <w:sz w:val="14"/>
              </w:rPr>
              <w:t>I.2, I.4, IV.2, IV.5, V.6, VI.8</w:t>
            </w:r>
          </w:p>
        </w:tc>
      </w:tr>
    </w:tbl>
    <w:p>
      <w:pPr>
        <w:pStyle w:val="Heading1"/>
        <w:spacing w:before="120" w:after="80"/>
      </w:pPr>
      <w:r>
        <w:rPr>
          <w:b/>
          <w:color w:val="1F4E79"/>
        </w:rPr>
        <w:t>3. Regole di assegnazione e presa in carico</w:t>
      </w:r>
    </w:p>
    <w:p>
      <w:pPr>
        <w:pStyle w:val="ListBullet"/>
        <w:spacing w:after="20"/>
        <w:ind w:left="340"/>
      </w:pPr>
      <w:r>
        <w:rPr>
          <w:rFonts w:ascii="Arial" w:hAnsi="Arial" w:eastAsia="Arial"/>
          <w:sz w:val="18"/>
        </w:rPr>
        <w:t>I documenti in entrata sono protocollati e assegnati alla UOR competente sulla base dell'oggetto, del procedimento, dell'affare o dell'attività amministrativa di riferimento.</w:t>
      </w:r>
    </w:p>
    <w:p>
      <w:pPr>
        <w:pStyle w:val="ListBullet"/>
        <w:spacing w:after="20"/>
        <w:ind w:left="340"/>
      </w:pPr>
      <w:r>
        <w:rPr>
          <w:rFonts w:ascii="Arial" w:hAnsi="Arial" w:eastAsia="Arial"/>
          <w:sz w:val="18"/>
        </w:rPr>
        <w:t>La UOR assegnataria cura la presa in carico, l'istruttoria, l'eventuale riassegnazione motivata, la produzione degli atti conseguenti e la corretta fascicolazione.</w:t>
      </w:r>
    </w:p>
    <w:p>
      <w:pPr>
        <w:pStyle w:val="ListBullet"/>
        <w:spacing w:after="20"/>
        <w:ind w:left="340"/>
      </w:pPr>
      <w:r>
        <w:rPr>
          <w:rFonts w:ascii="Arial" w:hAnsi="Arial" w:eastAsia="Arial"/>
          <w:sz w:val="18"/>
        </w:rPr>
        <w:t>In presenza di procedimenti trasversali, il RGD, il DSGA o il personale incaricato possono assegnare il documento a più UOR, individuando l'ufficio responsabile della trattazione principale.</w:t>
      </w:r>
    </w:p>
    <w:p>
      <w:pPr>
        <w:pStyle w:val="ListBullet"/>
        <w:spacing w:after="20"/>
        <w:ind w:left="340"/>
      </w:pPr>
      <w:r>
        <w:rPr>
          <w:rFonts w:ascii="Arial" w:hAnsi="Arial" w:eastAsia="Arial"/>
          <w:sz w:val="18"/>
        </w:rPr>
        <w:t>Le abilitazioni al sistema di protocollo e gestione documentale sono attribuite secondo il principio di necessità, pertinenza e proporzionalità rispetto alle mansioni svolte.</w:t>
      </w:r>
    </w:p>
    <w:p>
      <w:pPr>
        <w:pStyle w:val="ListBullet"/>
        <w:spacing w:after="20"/>
        <w:ind w:left="340"/>
      </w:pPr>
      <w:r>
        <w:rPr>
          <w:rFonts w:ascii="Arial" w:hAnsi="Arial" w:eastAsia="Arial"/>
          <w:sz w:val="18"/>
        </w:rPr>
        <w:t>I documenti ricevuti dai plessi o da soggetti non abilitati alla protocollazione devono essere trasmessi tempestivamente alla segreteria per la registrazione e la corretta assegnazione.</w:t>
      </w:r>
    </w:p>
    <w:p>
      <w:pPr>
        <w:pStyle w:val="Heading1"/>
        <w:spacing w:before="120" w:after="80"/>
      </w:pPr>
      <w:r>
        <w:rPr>
          <w:b/>
          <w:color w:val="1F4E79"/>
        </w:rPr>
        <w:t>4. Aggiornamento dell'elenco</w:t>
      </w:r>
    </w:p>
    <w:p>
      <w:pPr>
        <w:spacing w:after="80"/>
        <w:jc w:val="both"/>
      </w:pPr>
      <w:r>
        <w:rPr>
          <w:rFonts w:ascii="Arial" w:hAnsi="Arial" w:eastAsia="Arial"/>
          <w:sz w:val="19"/>
        </w:rPr>
        <w:t>Il presente elenco è aggiornato in caso di modifiche dell'organizzazione amministrativa, delle responsabilità interne, dei profili di abilitazione al sistema documentale o delle disposizioni normative e tecniche in materia di gestione documentale. L'aggiornamento può avvenire con provvedimento del Dirigente scolastico o mediante revisione del Manuale di gestione documentale.</w:t>
      </w:r>
    </w:p>
    <w:p>
      <w:pPr>
        <w:pStyle w:val="Heading1"/>
        <w:spacing w:before="120" w:after="80"/>
      </w:pPr>
      <w:r>
        <w:rPr>
          <w:b/>
          <w:color w:val="1F4E79"/>
        </w:rPr>
        <w:t>5. Disposizioni finali</w:t>
      </w:r>
    </w:p>
    <w:p>
      <w:pPr>
        <w:spacing w:after="80"/>
        <w:jc w:val="both"/>
      </w:pPr>
      <w:r>
        <w:rPr>
          <w:rFonts w:ascii="Arial" w:hAnsi="Arial" w:eastAsia="Arial"/>
          <w:sz w:val="19"/>
        </w:rPr>
        <w:t>Il presente Allegato 2 costituisce parte integrante e sostanziale del Manuale di gestione documentale - Versione 2.0 dell'Istituto Comprensivo Statale di Lozzo Atestino. Esso sostituisce eventuali precedenti elenchi UOR incompatibili e resta valido fino a successivo aggiornamento formale.</w:t>
      </w:r>
    </w:p>
    <w:p>
      <w:pPr>
        <w:jc w:val="right"/>
      </w:pPr>
      <w:r>
        <w:rPr>
          <w:b/>
          <w:sz w:val="19"/>
        </w:rPr>
        <w:br/>
        <w:t>Il Dirigente Scolastico</w:t>
        <w:br/>
        <w:t>Prof. Alfonso D'Ambrosio</w:t>
        <w:br/>
        <w:t>Documento informatico firmato digitalmente ai sensi del D.Lgs. 82/2005 e norme collegate</w:t>
      </w:r>
    </w:p>
    <w:sectPr w:rsidR="00FC693F" w:rsidRPr="0006063C" w:rsidSect="00034616">
      <w:headerReference w:type="default" r:id="rId9"/>
      <w:footerReference w:type="default" r:id="rId10"/>
      <w:pgSz w:w="16838" w:h="11906" w:orient="landscape"/>
      <w:pgMar w:top="737" w:right="737" w:bottom="68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Allegato 2 al Manuale di gestione documentale - Versione 2.0 - IC Lozzo Atestino</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15194"/>
    </w:tblGrid>
    <w:tr>
      <w:tc>
        <w:tcPr>
          <w:tcW w:type="dxa" w:w="15194"/>
          <w:tcBorders>
            <w:top w:val="single" w:sz="8" w:color="000000"/>
            <w:left w:val="single" w:sz="8" w:color="000000"/>
            <w:bottom w:val="single" w:sz="8" w:color="000000"/>
            <w:right w:val="single" w:sz="8" w:color="000000"/>
          </w:tcBorders>
        </w:tcPr>
        <w:p>
          <w:pPr>
            <w:spacing w:after="0"/>
            <w:jc w:val="center"/>
          </w:pPr>
          <w:r>
            <w:rPr>
              <w:rFonts w:ascii="Arial" w:hAnsi="Arial"/>
              <w:b/>
              <w:sz w:val="24"/>
            </w:rPr>
            <w:t>ISTITUTO COMPRENSIVO STATALE DI LOZZO ATESTINO</w:t>
          </w:r>
          <w:r>
            <w:rPr>
              <w:sz w:val="18"/>
            </w:rPr>
            <w:br/>
            <w:t>Scuole dell'Infanzia, Primarie e Secondarie di I grado di Lozzo Atestino, Cinto Euganeo e Vo'</w:t>
          </w:r>
          <w:r>
            <w:rPr>
              <w:sz w:val="18"/>
            </w:rPr>
            <w:br/>
            <w:t>Via G. Negri, 3 - 35034 LOZZO ATESTINO (PD) - C.F. 82005950280</w:t>
          </w:r>
          <w:r>
            <w:rPr>
              <w:sz w:val="18"/>
            </w:rPr>
            <w:br/>
            <w:t>Tel. 0429 94097 - e-mail pdic85700d@istruzione.it - PEC pdic85700d@pec.istruzione.it</w:t>
          </w:r>
          <w:r>
            <w:rPr>
              <w:sz w:val="18"/>
            </w:rPr>
            <w:br/>
            <w:t>Codice Ministeriale PDIC85700D - Sito Web www.iclozzoatestino.edu.it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 Elenco UOR - Manuale gestione documentale 2.0</dc:title>
  <dc:subject>Gestione documentale</dc:subject>
  <dc:creator>Istituto Comprensivo Statale di Lozzo Atestino</dc:creator>
  <cp:keywords>UOR; AOO; protocollo; gestione documentale</cp:keywords>
  <dc:description>generated by python-docx</dc:description>
  <cp:lastModifiedBy/>
  <cp:revision>1</cp:revision>
  <dcterms:created xsi:type="dcterms:W3CDTF">2013-12-23T23:15:00Z</dcterms:created>
  <dcterms:modified xsi:type="dcterms:W3CDTF">2013-12-23T23:15:00Z</dcterms:modified>
  <cp:category/>
</cp:coreProperties>
</file>