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sz w:val="19"/>
        </w:rPr>
        <w:t>Lozzo Atestino, data e protocollo come da segnatura</w:t>
      </w:r>
    </w:p>
    <w:p>
      <w:pPr>
        <w:jc w:val="center"/>
      </w:pPr>
      <w:r>
        <w:rPr>
          <w:b/>
          <w:color w:val="1F4E79"/>
          <w:sz w:val="30"/>
        </w:rPr>
        <w:t>ALLEGATO 3</w:t>
        <w:br/>
        <w:t>TITOLARIO DI CLASSIFICAZIONE</w:t>
      </w:r>
    </w:p>
    <w:p>
      <w:pPr>
        <w:jc w:val="center"/>
      </w:pPr>
      <w:r>
        <w:rPr>
          <w:i/>
          <w:sz w:val="21"/>
        </w:rPr>
        <w:t>Manuale di gestione documentale - Versione 2.0</w:t>
        <w:br/>
        <w:t>Istituto Comprensivo Statale di Lozzo Atestino</w:t>
      </w:r>
    </w:p>
    <w:p>
      <w:pPr>
        <w:spacing w:after="80"/>
        <w:jc w:val="both"/>
      </w:pPr>
      <w:r>
        <w:rPr>
          <w:rFonts w:ascii="Arial" w:hAnsi="Arial" w:eastAsia="Arial"/>
          <w:sz w:val="19"/>
        </w:rPr>
        <w:t>Il presente allegato recepisce il Titolario unico di classificazione per le istituzioni scolastiche, diffuso con nota congiunta Ministero dell'Istruzione - Ministero della Cultura prot. n. 3868 del 10 dicembre 2021, e lo adotta quale strumento ordinario per la classificazione dei documenti prodotti o ricevuti dall'Istituto Comprensivo Statale di Lozzo Atestino.</w:t>
      </w:r>
    </w:p>
    <w:p>
      <w:pPr>
        <w:spacing w:after="80"/>
        <w:jc w:val="both"/>
      </w:pPr>
      <w:r>
        <w:rPr>
          <w:rFonts w:ascii="Arial" w:hAnsi="Arial" w:eastAsia="Arial"/>
          <w:sz w:val="19"/>
        </w:rPr>
        <w:t>Il titolario è utilizzato in modo integrato con il sistema di protocollo informatico, con la fascicolazione dei procedimenti e con il Massimario di conservazione e scarto. Ogni documento, registrato o non registrato a protocollo, deve essere ricondotto alla classe pertinente in base alla natura dell'affare, del procedimento o dell'attività amministrativa cui si riferisce.</w:t>
      </w:r>
    </w:p>
    <w:p>
      <w:pPr>
        <w:pStyle w:val="Heading1"/>
        <w:spacing w:before="160" w:after="80"/>
      </w:pPr>
      <w:r>
        <w:rPr>
          <w:b/>
          <w:color w:val="1F4E79"/>
        </w:rPr>
        <w:t>1. Finalità e criteri di utilizzo</w:t>
      </w:r>
    </w:p>
    <w:p>
      <w:pPr>
        <w:spacing w:after="80"/>
        <w:jc w:val="both"/>
      </w:pPr>
      <w:r>
        <w:rPr>
          <w:rFonts w:ascii="Arial" w:hAnsi="Arial" w:eastAsia="Arial"/>
          <w:sz w:val="19"/>
        </w:rPr>
        <w:t>La classificazione consente di organizzare i documenti secondo una struttura stabile e condivisa, assicurando reperibilità, tracciabilità, corretta fascicolazione, gestione dell'archivio corrente e successiva applicazione dei tempi di conservazione. La scelta della classe deve essere effettuata sulla base del contenuto sostanziale del documento e non esclusivamente sulla base del mittente o del destinatario.</w:t>
      </w:r>
    </w:p>
    <w:p>
      <w:pPr>
        <w:spacing w:after="80"/>
        <w:jc w:val="both"/>
      </w:pPr>
      <w:r>
        <w:rPr>
          <w:rFonts w:ascii="Arial" w:hAnsi="Arial" w:eastAsia="Arial"/>
          <w:sz w:val="19"/>
        </w:rPr>
        <w:t>In caso di documenti relativi a procedimenti complessi o a progetti finanziati, la classificazione deve essere coordinata con la fascicolazione, così da permettere la ricostruzione completa dell'attività amministrativa e contabile. Le UOR operano nel rispetto delle indicazioni contenute nel Manuale di gestione documentale e degli aggiornamenti disposti dal Responsabile della gestione documentale.</w:t>
      </w:r>
    </w:p>
    <w:p>
      <w:pPr>
        <w:pStyle w:val="Heading1"/>
        <w:spacing w:before="160" w:after="80"/>
      </w:pPr>
      <w:r>
        <w:rPr>
          <w:b/>
          <w:color w:val="1F4E79"/>
        </w:rPr>
        <w:t>2. Struttura del titolario adottato</w:t>
      </w:r>
    </w:p>
    <w:p>
      <w:pPr>
        <w:spacing w:after="80"/>
        <w:jc w:val="both"/>
      </w:pPr>
      <w:r>
        <w:rPr>
          <w:rFonts w:ascii="Arial" w:hAnsi="Arial" w:eastAsia="Arial"/>
          <w:sz w:val="19"/>
        </w:rPr>
        <w:t>Il titolario si articola in sette titoli, corrispondenti alle principali aree di attività delle istituzioni scolastiche. Ciascun titolo è suddiviso in classi. La tabella seguente riporta la struttura completa adottata dall'Istituto.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83"/>
        <w:gridCol w:w="3383"/>
        <w:gridCol w:w="3383"/>
      </w:tblGrid>
      <w:tr>
        <w:trPr>
          <w:tblHeader w:val="true"/>
        </w:trPr>
        <w:tc>
          <w:tcPr>
            <w:tcW w:type="dxa" w:w="1247"/>
            <w:vAlign w:val="top"/>
            <w:shd w:fill="1F4E7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7"/>
              </w:rPr>
              <w:t>Titolo</w:t>
            </w:r>
          </w:p>
        </w:tc>
        <w:tc>
          <w:tcPr>
            <w:tcW w:type="dxa" w:w="1247"/>
            <w:vAlign w:val="top"/>
            <w:shd w:fill="1F4E7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7"/>
              </w:rPr>
              <w:t>Classe</w:t>
            </w:r>
          </w:p>
        </w:tc>
        <w:tc>
          <w:tcPr>
            <w:tcW w:type="dxa" w:w="7200"/>
            <w:vAlign w:val="top"/>
            <w:shd w:fill="1F4E7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7"/>
              </w:rPr>
              <w:t>Descrizione</w:t>
            </w:r>
          </w:p>
        </w:tc>
      </w:tr>
      <w:tr>
        <w:tc>
          <w:tcPr>
            <w:tcW w:type="dxa" w:w="1247"/>
            <w:vAlign w:val="top"/>
            <w:shd w:fill="D9EAF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color w:val="1F4E79"/>
                <w:sz w:val="17"/>
              </w:rPr>
              <w:t>I</w:t>
            </w:r>
          </w:p>
        </w:tc>
        <w:tc>
          <w:tcPr>
            <w:tcW w:type="dxa" w:w="1247"/>
            <w:vAlign w:val="top"/>
            <w:shd w:fill="D9EAF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7200"/>
            <w:vAlign w:val="top"/>
            <w:shd w:fill="D9EAF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color w:val="1F4E79"/>
                <w:sz w:val="17"/>
              </w:rPr>
              <w:t>AMMINISTRAZIONE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I.1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Normativa e disposizioni attuative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I.2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Organigramma e funzionigramma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I.3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Statistica e sicurezza di dati e informazioni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I.4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Archivio, accesso, privacy, trasparenza e relazioni con il pubblico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I.5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Registri e repertori di carattere generale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I.6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Audit, qualità, carta dei servizi, valutazione e autovalutazione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I.7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Elezioni e nomine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I.8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Eventi, cerimoniale, patrocini, concorsi, editoria e stampa</w:t>
            </w:r>
          </w:p>
        </w:tc>
      </w:tr>
      <w:tr>
        <w:tc>
          <w:tcPr>
            <w:tcW w:type="dxa" w:w="1247"/>
            <w:vAlign w:val="top"/>
            <w:shd w:fill="D9EAF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color w:val="1F4E79"/>
                <w:sz w:val="17"/>
              </w:rPr>
              <w:t>II</w:t>
            </w:r>
          </w:p>
        </w:tc>
        <w:tc>
          <w:tcPr>
            <w:tcW w:type="dxa" w:w="1247"/>
            <w:vAlign w:val="top"/>
            <w:shd w:fill="D9EAF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7200"/>
            <w:vAlign w:val="top"/>
            <w:shd w:fill="D9EAF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color w:val="1F4E79"/>
                <w:sz w:val="17"/>
              </w:rPr>
              <w:t>ORGANI E ORGANISMI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II.1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Consiglio di istituto, Consiglio di circolo e Consiglio di Amministrazione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II.2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Consiglio di classe e di interclasse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II.3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Collegio dei docenti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II.4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Giunta esecutiva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II.5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Dirigente scolastico DS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II.6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Direttore dei servizi generali e amministrativi DSGA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II.7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Comitato di valutazione del servizio dei docenti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II.8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Comitato dei genitori, Comitato studentesco e rapporti scuola-famiglia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II.9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Reti scolastiche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II.10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Rapporti sindacali, contrattazione e Rappresentanza sindacale unitaria (RSU)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II.11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Commissioni e gruppi di lavoro</w:t>
            </w:r>
          </w:p>
        </w:tc>
      </w:tr>
      <w:tr>
        <w:tc>
          <w:tcPr>
            <w:tcW w:type="dxa" w:w="1247"/>
            <w:vAlign w:val="top"/>
            <w:shd w:fill="D9EAF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color w:val="1F4E79"/>
                <w:sz w:val="17"/>
              </w:rPr>
              <w:t>III</w:t>
            </w:r>
          </w:p>
        </w:tc>
        <w:tc>
          <w:tcPr>
            <w:tcW w:type="dxa" w:w="1247"/>
            <w:vAlign w:val="top"/>
            <w:shd w:fill="D9EAF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7200"/>
            <w:vAlign w:val="top"/>
            <w:shd w:fill="D9EAF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color w:val="1F4E79"/>
                <w:sz w:val="17"/>
              </w:rPr>
              <w:t>ATTIVITÀ GIURIDICO-LEGALE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III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III.1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Contenzioso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III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III.2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Violazioni amministrative e reati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III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III.3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Responsabilità civile, penale e amministrativa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III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III.4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Pareri e consulenze</w:t>
            </w:r>
          </w:p>
        </w:tc>
      </w:tr>
      <w:tr>
        <w:tc>
          <w:tcPr>
            <w:tcW w:type="dxa" w:w="1247"/>
            <w:vAlign w:val="top"/>
            <w:shd w:fill="D9EAF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color w:val="1F4E79"/>
                <w:sz w:val="17"/>
              </w:rPr>
              <w:t>IV</w:t>
            </w:r>
          </w:p>
        </w:tc>
        <w:tc>
          <w:tcPr>
            <w:tcW w:type="dxa" w:w="1247"/>
            <w:vAlign w:val="top"/>
            <w:shd w:fill="D9EAF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7200"/>
            <w:vAlign w:val="top"/>
            <w:shd w:fill="D9EAF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color w:val="1F4E79"/>
                <w:sz w:val="17"/>
              </w:rPr>
              <w:t>DIDATTICA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IV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IV.1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Piano triennale dell'offerta formativa PTOF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IV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IV.2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Attività extracurricolari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IV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IV.3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Registro di classe, dei docenti e dei profili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IV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IV.4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Libri di testo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IV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IV.5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Progetti e materiali didattici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IV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IV.6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Viaggi di istruzione, scambi, stage e tirocini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IV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IV.7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Biblioteca, emeroteca, videoteca e sussidi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IV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IV.8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Salute e prevenzione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IV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IV.9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Attività sportivo-ricreative e rapporti con il Centro Scolastico Sportivo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IV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IV.10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Elaborati e prospetti scrutini</w:t>
            </w:r>
          </w:p>
        </w:tc>
      </w:tr>
      <w:tr>
        <w:tc>
          <w:tcPr>
            <w:tcW w:type="dxa" w:w="1247"/>
            <w:vAlign w:val="top"/>
            <w:shd w:fill="D9EAF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color w:val="1F4E79"/>
                <w:sz w:val="17"/>
              </w:rPr>
              <w:t>V</w:t>
            </w:r>
          </w:p>
        </w:tc>
        <w:tc>
          <w:tcPr>
            <w:tcW w:type="dxa" w:w="1247"/>
            <w:vAlign w:val="top"/>
            <w:shd w:fill="D9EAF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7200"/>
            <w:vAlign w:val="top"/>
            <w:shd w:fill="D9EAF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color w:val="1F4E79"/>
                <w:sz w:val="17"/>
              </w:rPr>
              <w:t>STUDENTI E DIPLOMATI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V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V.1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Orientamento e placement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V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V.2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Ammissioni e iscrizioni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V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V.3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Anagrafe studenti e formazione delle classi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V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V.4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Cursus studiorum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V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V.5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Procedimenti disciplinari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V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V.6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Diritto allo studio e servizi agli studenti (trasporti, mensa, buoni libro, etc.)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V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V.7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Tutela della salute e farmaci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V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V.8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Esoneri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V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V.9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Prescuola e attività parascolastiche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V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V.10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Disagio e diverse abilità - DSA</w:t>
            </w:r>
          </w:p>
        </w:tc>
      </w:tr>
      <w:tr>
        <w:tc>
          <w:tcPr>
            <w:tcW w:type="dxa" w:w="1247"/>
            <w:vAlign w:val="top"/>
            <w:shd w:fill="D9EAF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color w:val="1F4E79"/>
                <w:sz w:val="17"/>
              </w:rPr>
              <w:t>VI</w:t>
            </w:r>
          </w:p>
        </w:tc>
        <w:tc>
          <w:tcPr>
            <w:tcW w:type="dxa" w:w="1247"/>
            <w:vAlign w:val="top"/>
            <w:shd w:fill="D9EAF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7200"/>
            <w:vAlign w:val="top"/>
            <w:shd w:fill="D9EAF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color w:val="1F4E79"/>
                <w:sz w:val="17"/>
              </w:rPr>
              <w:t>FINANZA E PATRIMONIO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VI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VI.1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Entrate e finanziamenti del progetto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VI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VI.2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Uscite e piani di spesa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VI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VI.3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Bilancio, tesoreria, cassa, istituti di credito e verifiche contabili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VI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VI.4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Imposte, tasse, ritenute previdenziali e assistenziali, denunce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VI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VI.5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Assicurazioni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VI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VI.6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Utilizzo beni terzi, comodato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VI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VI.7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Inventario e rendiconto patrimoniale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VI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VI.8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Infrastrutture e logistica (plessi, succursali)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VI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VI.9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DVR e sicurezza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VI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VI.10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Beni mobili e servizi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VI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VI.11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Sistemi informatici, telematici e fonia</w:t>
            </w:r>
          </w:p>
        </w:tc>
      </w:tr>
      <w:tr>
        <w:tc>
          <w:tcPr>
            <w:tcW w:type="dxa" w:w="1247"/>
            <w:vAlign w:val="top"/>
            <w:shd w:fill="D9EAF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color w:val="1F4E79"/>
                <w:sz w:val="17"/>
              </w:rPr>
              <w:t>VII</w:t>
            </w:r>
          </w:p>
        </w:tc>
        <w:tc>
          <w:tcPr>
            <w:tcW w:type="dxa" w:w="1247"/>
            <w:vAlign w:val="top"/>
            <w:shd w:fill="D9EAF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  <w:tc>
          <w:tcPr>
            <w:tcW w:type="dxa" w:w="7200"/>
            <w:vAlign w:val="top"/>
            <w:shd w:fill="D9EAF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color w:val="1F4E79"/>
                <w:sz w:val="17"/>
              </w:rPr>
              <w:t>PERSONALE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VII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VII.1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Organici, lavoratori socialmente utili, graduatorie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VII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VII.2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Carriera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VII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VII.3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Trattamento giuridico-economico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VII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VII.4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Assenze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VII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VII.5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Formazione, aggiornamento e sviluppo professionale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VII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VII.6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Obiettivi, incarichi, valutazione e disciplina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VII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VII.7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Sorveglianza sanitaria</w:t>
            </w:r>
          </w:p>
        </w:tc>
      </w:tr>
      <w:tr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VII</w:t>
            </w:r>
          </w:p>
        </w:tc>
        <w:tc>
          <w:tcPr>
            <w:tcW w:type="dxa" w:w="1247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6"/>
              </w:rPr>
              <w:t>VII.8</w:t>
            </w:r>
          </w:p>
        </w:tc>
        <w:tc>
          <w:tcPr>
            <w:tcW w:type="dxa" w:w="7200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6"/>
              </w:rPr>
              <w:t>Collaboratori esterni</w:t>
            </w:r>
          </w:p>
        </w:tc>
      </w:tr>
    </w:tbl>
    <w:p>
      <w:pPr>
        <w:pStyle w:val="Heading1"/>
        <w:spacing w:before="160" w:after="80"/>
      </w:pPr>
      <w:r>
        <w:rPr>
          <w:b/>
          <w:color w:val="1F4E79"/>
        </w:rPr>
        <w:t>3. Indicazioni operative per la classificazione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074"/>
        <w:gridCol w:w="5074"/>
      </w:tblGrid>
      <w:tr>
        <w:trPr>
          <w:tblHeader w:val="true"/>
        </w:trPr>
        <w:tc>
          <w:tcPr>
            <w:tcW w:type="dxa" w:w="5074"/>
            <w:vAlign w:val="top"/>
            <w:shd w:fill="1F4E7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7"/>
              </w:rPr>
              <w:t>Ambito</w:t>
            </w:r>
          </w:p>
        </w:tc>
        <w:tc>
          <w:tcPr>
            <w:tcW w:type="dxa" w:w="5074"/>
            <w:vAlign w:val="top"/>
            <w:shd w:fill="1F4E7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7"/>
              </w:rPr>
              <w:t>Indicazione operativa</w:t>
            </w:r>
          </w:p>
        </w:tc>
      </w:tr>
      <w:tr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7"/>
              </w:rPr>
              <w:t>Documento in entrata</w:t>
            </w:r>
          </w:p>
        </w:tc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7"/>
              </w:rPr>
              <w:t>Il personale addetto al protocollo registra il documento, attribuisce la classificazione iniziale e assegna il documento alla UOR competente. La UOR verifica la correttezza della classificazione e cura la fascicolazione.</w:t>
            </w:r>
          </w:p>
        </w:tc>
      </w:tr>
      <w:tr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7"/>
              </w:rPr>
              <w:t>Documento in uscita</w:t>
            </w:r>
          </w:p>
        </w:tc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7"/>
              </w:rPr>
              <w:t>La UOR proponente predispone il documento, indica la classe del titolario e il fascicolo di riferimento. Il documento è registrato e segnato secondo le regole del sistema di protocollo.</w:t>
            </w:r>
          </w:p>
        </w:tc>
      </w:tr>
      <w:tr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7"/>
              </w:rPr>
              <w:t>Documento interno</w:t>
            </w:r>
          </w:p>
        </w:tc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7"/>
              </w:rPr>
              <w:t>Gli atti interni rilevanti ai fini del procedimento sono classificati e fascicolati nella medesima classe del procedimento cui si riferiscono.</w:t>
            </w:r>
          </w:p>
        </w:tc>
      </w:tr>
      <w:tr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7"/>
              </w:rPr>
              <w:t>Progetti e finanziamenti</w:t>
            </w:r>
          </w:p>
        </w:tc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7"/>
              </w:rPr>
              <w:t>Gli atti relativi a finanziamenti e progetti sono normalmente classificati in VI.1 per le entrate/finanziamenti e VI.2 per gli atti di spesa, fermo restando l’uso delle classi didattiche o del personale quando il documento riguarda tali ambiti specifici.</w:t>
            </w:r>
          </w:p>
        </w:tc>
      </w:tr>
      <w:tr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7"/>
              </w:rPr>
              <w:t>Fascicolazione</w:t>
            </w:r>
          </w:p>
        </w:tc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7"/>
              </w:rPr>
              <w:t>La classificazione individua la classe; il fascicolo ricostruisce l’affare o procedimento. I documenti relativi al medesimo procedimento devono essere ricondotti al medesimo fascicolo.</w:t>
            </w:r>
          </w:p>
        </w:tc>
      </w:tr>
    </w:tbl>
    <w:p>
      <w:pPr>
        <w:pStyle w:val="Heading1"/>
        <w:spacing w:before="160" w:after="80"/>
      </w:pPr>
      <w:r>
        <w:rPr>
          <w:b/>
          <w:color w:val="1F4E79"/>
        </w:rPr>
        <w:t>4. Esempi ricorrenti di classificazione</w:t>
      </w:r>
    </w:p>
    <w:p>
      <w:pPr>
        <w:spacing w:after="80"/>
        <w:jc w:val="both"/>
      </w:pPr>
      <w:r>
        <w:rPr>
          <w:rFonts w:ascii="Arial" w:hAnsi="Arial" w:eastAsia="Arial"/>
          <w:sz w:val="19"/>
        </w:rPr>
        <w:t>Gli esempi seguenti hanno valore orientativo e non sostituiscono la valutazione puntuale del contenuto del documento e del procedimento di riferimento.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074"/>
        <w:gridCol w:w="5074"/>
      </w:tblGrid>
      <w:tr>
        <w:trPr>
          <w:tblHeader w:val="true"/>
        </w:trPr>
        <w:tc>
          <w:tcPr>
            <w:tcW w:type="dxa" w:w="5074"/>
            <w:vAlign w:val="top"/>
            <w:shd w:fill="1F4E7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7"/>
              </w:rPr>
              <w:t>Classe</w:t>
            </w:r>
          </w:p>
        </w:tc>
        <w:tc>
          <w:tcPr>
            <w:tcW w:type="dxa" w:w="5074"/>
            <w:vAlign w:val="top"/>
            <w:shd w:fill="1F4E7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7"/>
              </w:rPr>
              <w:t>Esempi di documenti o procedimenti</w:t>
            </w:r>
          </w:p>
        </w:tc>
      </w:tr>
      <w:tr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7"/>
              </w:rPr>
              <w:t>I.1</w:t>
            </w:r>
          </w:p>
        </w:tc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7"/>
              </w:rPr>
              <w:t>Regolamenti di istituto, circolari e disposizioni generali, manuali interni.</w:t>
            </w:r>
          </w:p>
        </w:tc>
      </w:tr>
      <w:tr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7"/>
              </w:rPr>
              <w:t>I.4</w:t>
            </w:r>
          </w:p>
        </w:tc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7"/>
              </w:rPr>
              <w:t>Accesso agli atti, privacy, trasparenza, archivio e relazioni con il pubblico.</w:t>
            </w:r>
          </w:p>
        </w:tc>
      </w:tr>
      <w:tr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7"/>
              </w:rPr>
              <w:t>II.1</w:t>
            </w:r>
          </w:p>
        </w:tc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7"/>
              </w:rPr>
              <w:t>Convocazioni, verbali e delibere del Consiglio di Istituto.</w:t>
            </w:r>
          </w:p>
        </w:tc>
      </w:tr>
      <w:tr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7"/>
              </w:rPr>
              <w:t>II.3</w:t>
            </w:r>
          </w:p>
        </w:tc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7"/>
              </w:rPr>
              <w:t>Convocazioni, verbali e delibere del Collegio dei docenti.</w:t>
            </w:r>
          </w:p>
        </w:tc>
      </w:tr>
      <w:tr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7"/>
              </w:rPr>
              <w:t>IV.1</w:t>
            </w:r>
          </w:p>
        </w:tc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7"/>
              </w:rPr>
              <w:t>PTOF, aggiornamenti, rendicontazione sociale e documenti connessi all’offerta formativa.</w:t>
            </w:r>
          </w:p>
        </w:tc>
      </w:tr>
      <w:tr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7"/>
              </w:rPr>
              <w:t>IV.5</w:t>
            </w:r>
          </w:p>
        </w:tc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7"/>
              </w:rPr>
              <w:t>Progetti didattici, materiali didattici, relazioni finali, documentazione pedagogica.</w:t>
            </w:r>
          </w:p>
        </w:tc>
      </w:tr>
      <w:tr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7"/>
              </w:rPr>
              <w:t>V.2</w:t>
            </w:r>
          </w:p>
        </w:tc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7"/>
              </w:rPr>
              <w:t>Iscrizioni, ammissioni, trasferimenti, nulla osta.</w:t>
            </w:r>
          </w:p>
        </w:tc>
      </w:tr>
      <w:tr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7"/>
              </w:rPr>
              <w:t>V.4</w:t>
            </w:r>
          </w:p>
        </w:tc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7"/>
              </w:rPr>
              <w:t>Fascicoli personali degli alunni, certificazioni, valutazioni, diplomi.</w:t>
            </w:r>
          </w:p>
        </w:tc>
      </w:tr>
      <w:tr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7"/>
              </w:rPr>
              <w:t>VI.1</w:t>
            </w:r>
          </w:p>
        </w:tc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7"/>
              </w:rPr>
              <w:t>Finanziamenti, progetti PON/PN/PNRR, contributi e assegnazioni.</w:t>
            </w:r>
          </w:p>
        </w:tc>
      </w:tr>
      <w:tr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7"/>
              </w:rPr>
              <w:t>VI.2</w:t>
            </w:r>
          </w:p>
        </w:tc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7"/>
              </w:rPr>
              <w:t>Impegni, acquisti, determine, decisioni a contrarre, ordini e liquidazioni.</w:t>
            </w:r>
          </w:p>
        </w:tc>
      </w:tr>
      <w:tr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7"/>
              </w:rPr>
              <w:t>VII.1</w:t>
            </w:r>
          </w:p>
        </w:tc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7"/>
              </w:rPr>
              <w:t>Organici, graduatorie, incarichi, individuazioni, supplenze.</w:t>
            </w:r>
          </w:p>
        </w:tc>
      </w:tr>
      <w:tr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/>
                <w:sz w:val="17"/>
              </w:rPr>
              <w:t>VII.4</w:t>
            </w:r>
          </w:p>
        </w:tc>
        <w:tc>
          <w:tcPr>
            <w:tcW w:type="dxa" w:w="5074"/>
            <w:vAlign w:val="top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pPr>
              <w:spacing w:after="0"/>
            </w:pPr>
            <w:r/>
            <w:r>
              <w:rPr>
                <w:rFonts w:ascii="Arial" w:hAnsi="Arial" w:eastAsia="Arial"/>
                <w:b w:val="0"/>
                <w:sz w:val="17"/>
              </w:rPr>
              <w:t>Assenze del personale, permessi, congedi e relativa documentazione.</w:t>
            </w:r>
          </w:p>
        </w:tc>
      </w:tr>
    </w:tbl>
    <w:p>
      <w:pPr>
        <w:pStyle w:val="Heading1"/>
        <w:spacing w:before="160" w:after="80"/>
      </w:pPr>
      <w:r>
        <w:rPr>
          <w:b/>
          <w:color w:val="1F4E79"/>
        </w:rPr>
        <w:t>5. Aggiornamento del titolario</w:t>
      </w:r>
    </w:p>
    <w:p>
      <w:pPr>
        <w:spacing w:after="80"/>
        <w:jc w:val="both"/>
      </w:pPr>
      <w:r>
        <w:rPr>
          <w:rFonts w:ascii="Arial" w:hAnsi="Arial" w:eastAsia="Arial"/>
          <w:sz w:val="19"/>
        </w:rPr>
        <w:t>Il titolario è allegato al Manuale di gestione documentale e ne costituisce parte integrante. Eventuali aggiornamenti derivanti da nuove indicazioni ministeriali, da modifiche normative o da esigenze organizzative dell'Istituto sono disposti con provvedimento del Dirigente scolastico, su proposta o istruttoria del Responsabile della gestione documentale, sentito il DSGA.</w:t>
      </w:r>
    </w:p>
    <w:p>
      <w:pPr>
        <w:spacing w:after="80"/>
        <w:jc w:val="both"/>
      </w:pPr>
      <w:r>
        <w:rPr>
          <w:rFonts w:ascii="Arial" w:hAnsi="Arial" w:eastAsia="Arial"/>
          <w:sz w:val="19"/>
        </w:rPr>
        <w:t>L'utilizzo del titolario è obbligatorio per tutte le UOR dell'Istituto e per tutti gli operatori abilitati al sistema di protocollo e gestione documentale. La corretta classificazione è funzionale alla trasparenza amministrativa, alla tutela dell'archivio, alla conservazione digitale e al corretto esercizio dei diritti di accesso.</w:t>
      </w:r>
    </w:p>
    <w:p>
      <w:pPr>
        <w:spacing w:before="200"/>
        <w:jc w:val="right"/>
      </w:pPr>
      <w:r>
        <w:rPr>
          <w:rFonts w:ascii="Arial" w:hAnsi="Arial" w:eastAsia="Arial"/>
          <w:b/>
          <w:sz w:val="20"/>
        </w:rPr>
        <w:t>Il Dirigente scolastico</w:t>
        <w:br/>
        <w:t>Prof. Alfonso D'Ambrosio</w:t>
      </w:r>
    </w:p>
    <w:p>
      <w:pPr>
        <w:jc w:val="right"/>
      </w:pPr>
      <w:r>
        <w:rPr>
          <w:rFonts w:ascii="Arial" w:hAnsi="Arial" w:eastAsia="Arial"/>
          <w:i/>
          <w:sz w:val="17"/>
        </w:rPr>
        <w:t>Documento informatico firmato digitalmente ai sensi del CAD e normativa connessa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765" w:right="879" w:bottom="765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46464"/>
        <w:sz w:val="16"/>
      </w:rPr>
      <w:t>Allegato 3 al Manuale di gestione documentale - Versione 2.0 - IC Lozzo Atestino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jc w:val="center"/>
      <w:tblLook w:firstColumn="1" w:firstRow="1" w:lastColumn="0" w:lastRow="0" w:noHBand="0" w:noVBand="1" w:val="04A0"/>
    </w:tblPr>
    <w:tblGrid>
      <w:gridCol w:w="10035"/>
    </w:tblGrid>
    <w:tr>
      <w:tc>
        <w:tcPr>
          <w:tcW w:type="dxa" w:w="10035"/>
          <w:tcBorders>
            <w:top w:val="single" w:sz="8" w:color="000000"/>
            <w:left w:val="single" w:sz="8" w:color="000000"/>
            <w:bottom w:val="single" w:sz="8" w:color="000000"/>
            <w:right w:val="single" w:sz="8" w:color="000000"/>
          </w:tcBorders>
        </w:tcPr>
        <w:p>
          <w:pPr>
            <w:spacing w:after="0"/>
            <w:jc w:val="center"/>
          </w:pPr>
          <w:r>
            <w:rPr>
              <w:rFonts w:ascii="Arial" w:hAnsi="Arial"/>
              <w:b/>
              <w:sz w:val="22"/>
            </w:rPr>
            <w:t>ISTITUTO COMPRENSIVO STATALE DI LOZZO ATESTINO</w:t>
          </w:r>
          <w:r>
            <w:rPr>
              <w:rFonts w:ascii="Arial" w:hAnsi="Arial"/>
              <w:sz w:val="16"/>
            </w:rPr>
            <w:br/>
            <w:t>Scuole dell'Infanzia, Primarie e Secondarie di I grado di Lozzo Atestino, Cinto Euganeo e Vo'</w:t>
          </w:r>
          <w:r>
            <w:rPr>
              <w:rFonts w:ascii="Arial" w:hAnsi="Arial"/>
              <w:sz w:val="16"/>
            </w:rPr>
            <w:br/>
            <w:t>Via G. Negri, 3 - 35034 LOZZO ATESTINO (PD) - C.F. 82005950280</w:t>
          </w:r>
          <w:r>
            <w:rPr>
              <w:rFonts w:ascii="Arial" w:hAnsi="Arial"/>
              <w:sz w:val="16"/>
            </w:rPr>
            <w:br/>
            <w:t>Tel. 0429 94097 - e-mail pdic85700d@istruzione.it - PEC pdic85700d@pec.istruzione.it</w:t>
          </w:r>
          <w:r>
            <w:rPr>
              <w:rFonts w:ascii="Arial" w:hAnsi="Arial"/>
              <w:sz w:val="16"/>
            </w:rPr>
            <w:br/>
            <w:t>Codice Ministeriale PDIC85700D - Sito Web www.iclozzoatestino.edu.it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1F4E79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